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6" w:type="dxa"/>
        <w:tblLook w:val="04A0" w:firstRow="1" w:lastRow="0" w:firstColumn="1" w:lastColumn="0" w:noHBand="0" w:noVBand="1"/>
      </w:tblPr>
      <w:tblGrid>
        <w:gridCol w:w="1641"/>
        <w:gridCol w:w="1695"/>
        <w:gridCol w:w="1818"/>
        <w:gridCol w:w="1919"/>
        <w:gridCol w:w="1553"/>
        <w:gridCol w:w="1550"/>
      </w:tblGrid>
      <w:tr w:rsidR="008E5998" w:rsidRPr="008E5998" w:rsidTr="008E5998">
        <w:trPr>
          <w:trHeight w:val="310"/>
        </w:trPr>
        <w:tc>
          <w:tcPr>
            <w:tcW w:w="101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998" w:rsidRPr="008E5998" w:rsidRDefault="008E5998" w:rsidP="008E5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59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Структура издержек на содержание объектов инфраструктуры</w:t>
            </w:r>
          </w:p>
        </w:tc>
      </w:tr>
      <w:tr w:rsidR="008E5998" w:rsidRPr="008E5998" w:rsidTr="008E5998">
        <w:trPr>
          <w:trHeight w:val="310"/>
        </w:trPr>
        <w:tc>
          <w:tcPr>
            <w:tcW w:w="101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998" w:rsidRPr="008E5998" w:rsidRDefault="008E5998" w:rsidP="008E5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59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8E59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Кредитинвест</w:t>
            </w:r>
            <w:proofErr w:type="spellEnd"/>
            <w:r w:rsidRPr="008E59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E5998" w:rsidRPr="008E5998" w:rsidTr="008E5998">
        <w:trPr>
          <w:trHeight w:val="1560"/>
        </w:trPr>
        <w:tc>
          <w:tcPr>
            <w:tcW w:w="101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998" w:rsidRPr="008E5998" w:rsidRDefault="008E5998" w:rsidP="008E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E59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Основу инфраструктуры составляют здания, сооружения, оборудование </w:t>
            </w:r>
            <w:proofErr w:type="gramStart"/>
            <w:r w:rsidRPr="008E59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 техника</w:t>
            </w:r>
            <w:proofErr w:type="gramEnd"/>
            <w:r w:rsidRPr="008E59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обеспечивающие обслуживание пассажиров до и после вылета. Склад СВХ, грузовой </w:t>
            </w:r>
            <w:proofErr w:type="gramStart"/>
            <w:r w:rsidRPr="008E59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склад,  объекты</w:t>
            </w:r>
            <w:proofErr w:type="gramEnd"/>
            <w:r w:rsidRPr="008E59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E59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авиатопливообеспечения</w:t>
            </w:r>
            <w:proofErr w:type="spellEnd"/>
            <w:r w:rsidRPr="008E59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 используемые на правах аренды или хозяйственного ведения, находящиеся на территории аэропорта и непосредственно используемые в целях  оказания потребителям  услуг в аэропорту.</w:t>
            </w:r>
          </w:p>
        </w:tc>
      </w:tr>
      <w:tr w:rsidR="008E5998" w:rsidRPr="008E5998" w:rsidTr="008E5998">
        <w:trPr>
          <w:trHeight w:val="31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998" w:rsidRPr="008E5998" w:rsidRDefault="008E5998" w:rsidP="008E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998" w:rsidRPr="008E5998" w:rsidTr="008E5998">
        <w:trPr>
          <w:trHeight w:val="310"/>
        </w:trPr>
        <w:tc>
          <w:tcPr>
            <w:tcW w:w="101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998" w:rsidRPr="008E5998" w:rsidRDefault="008E5998" w:rsidP="008E5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59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8E59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 в</w:t>
            </w:r>
            <w:proofErr w:type="gramEnd"/>
            <w:r w:rsidRPr="008E59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соответствии с формой 67-ГА ) по итогам за  12 месяцев  2016 года:</w:t>
            </w:r>
          </w:p>
        </w:tc>
      </w:tr>
      <w:tr w:rsidR="008E5998" w:rsidRPr="008E5998" w:rsidTr="008E5998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998" w:rsidRPr="008E5998" w:rsidTr="008E5998">
        <w:trPr>
          <w:trHeight w:val="510"/>
        </w:trPr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998" w:rsidRPr="008E5998" w:rsidRDefault="008E5998" w:rsidP="008E5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998" w:rsidRPr="008E5998" w:rsidRDefault="008E5998" w:rsidP="008E5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Страховые взносы</w:t>
            </w: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998" w:rsidRPr="008E5998" w:rsidRDefault="008E5998" w:rsidP="008E5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Амортизация ОПФ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998" w:rsidRPr="008E5998" w:rsidRDefault="008E5998" w:rsidP="008E5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998" w:rsidRPr="008E5998" w:rsidRDefault="008E5998" w:rsidP="008E5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998" w:rsidRPr="008E5998" w:rsidRDefault="008E5998" w:rsidP="008E5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8E5998" w:rsidRPr="008E5998" w:rsidTr="008E5998">
        <w:trPr>
          <w:trHeight w:val="300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998" w:rsidRPr="008E5998" w:rsidRDefault="008E5998" w:rsidP="008E5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21,84%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998" w:rsidRPr="008E5998" w:rsidRDefault="008E5998" w:rsidP="008E5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6,42%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998" w:rsidRPr="008E5998" w:rsidRDefault="008E5998" w:rsidP="008E5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26,68%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998" w:rsidRPr="008E5998" w:rsidRDefault="008E5998" w:rsidP="008E5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41,75%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998" w:rsidRPr="008E5998" w:rsidRDefault="008E5998" w:rsidP="008E5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3,31%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998" w:rsidRPr="008E5998" w:rsidRDefault="008E5998" w:rsidP="008E5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E5998" w:rsidRPr="008E5998" w:rsidTr="008E5998">
        <w:trPr>
          <w:trHeight w:val="29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998" w:rsidRPr="008E5998" w:rsidTr="008E5998">
        <w:trPr>
          <w:trHeight w:val="29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5998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63500</wp:posOffset>
                  </wp:positionV>
                  <wp:extent cx="6229350" cy="4857750"/>
                  <wp:effectExtent l="0" t="0" r="0" b="0"/>
                  <wp:wrapNone/>
                  <wp:docPr id="3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5998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82550</wp:posOffset>
                  </wp:positionV>
                  <wp:extent cx="6242050" cy="4914900"/>
                  <wp:effectExtent l="0" t="0" r="6350" b="0"/>
                  <wp:wrapNone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8E5998" w:rsidRPr="008E5998">
              <w:trPr>
                <w:trHeight w:val="290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5998" w:rsidRPr="008E5998" w:rsidRDefault="008E5998" w:rsidP="008E59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8E5998" w:rsidRPr="008E5998" w:rsidRDefault="008E5998" w:rsidP="008E5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998" w:rsidRPr="008E5998" w:rsidTr="008E5998">
        <w:trPr>
          <w:trHeight w:val="29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998" w:rsidRPr="008E5998" w:rsidTr="008E5998">
        <w:trPr>
          <w:trHeight w:val="29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998" w:rsidRPr="008E5998" w:rsidTr="008E5998">
        <w:trPr>
          <w:trHeight w:val="29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998" w:rsidRPr="008E5998" w:rsidTr="008E5998">
        <w:trPr>
          <w:trHeight w:val="29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998" w:rsidRPr="008E5998" w:rsidTr="008E5998">
        <w:trPr>
          <w:trHeight w:val="29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998" w:rsidRPr="008E5998" w:rsidTr="008E5998">
        <w:trPr>
          <w:trHeight w:val="29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998" w:rsidRPr="008E5998" w:rsidTr="008E5998">
        <w:trPr>
          <w:trHeight w:val="29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998" w:rsidRPr="008E5998" w:rsidTr="008E5998">
        <w:trPr>
          <w:trHeight w:val="29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998" w:rsidRPr="008E5998" w:rsidTr="008E5998">
        <w:trPr>
          <w:trHeight w:val="29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998" w:rsidRPr="008E5998" w:rsidTr="008E5998">
        <w:trPr>
          <w:trHeight w:val="29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998" w:rsidRPr="008E5998" w:rsidTr="008E5998">
        <w:trPr>
          <w:trHeight w:val="29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998" w:rsidRPr="008E5998" w:rsidTr="008E5998">
        <w:trPr>
          <w:trHeight w:val="29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998" w:rsidRPr="008E5998" w:rsidTr="008E5998">
        <w:trPr>
          <w:trHeight w:val="29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998" w:rsidRPr="008E5998" w:rsidTr="008E5998">
        <w:trPr>
          <w:trHeight w:val="29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998" w:rsidRPr="008E5998" w:rsidTr="008E5998">
        <w:trPr>
          <w:trHeight w:val="29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998" w:rsidRPr="008E5998" w:rsidTr="008E5998">
        <w:trPr>
          <w:trHeight w:val="29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998" w:rsidRPr="008E5998" w:rsidTr="008E5998">
        <w:trPr>
          <w:trHeight w:val="29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998" w:rsidRPr="008E5998" w:rsidTr="008E5998">
        <w:trPr>
          <w:trHeight w:val="29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998" w:rsidRPr="008E5998" w:rsidTr="008E5998">
        <w:trPr>
          <w:trHeight w:val="29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998" w:rsidRPr="008E5998" w:rsidTr="008E5998">
        <w:trPr>
          <w:trHeight w:val="29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998" w:rsidRPr="008E5998" w:rsidTr="008E5998">
        <w:trPr>
          <w:trHeight w:val="29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998" w:rsidRPr="008E5998" w:rsidTr="008E5998">
        <w:trPr>
          <w:trHeight w:val="29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998" w:rsidRPr="008E5998" w:rsidTr="008E5998">
        <w:trPr>
          <w:trHeight w:val="29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998" w:rsidRPr="008E5998" w:rsidTr="008E5998">
        <w:trPr>
          <w:trHeight w:val="29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998" w:rsidRPr="008E5998" w:rsidTr="008E5998">
        <w:trPr>
          <w:trHeight w:val="29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998" w:rsidRPr="008E5998" w:rsidTr="008E5998">
        <w:trPr>
          <w:trHeight w:val="29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998" w:rsidRPr="008E5998" w:rsidTr="008E5998">
        <w:trPr>
          <w:trHeight w:val="29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98" w:rsidRPr="008E5998" w:rsidRDefault="008E5998" w:rsidP="008E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7714" w:rsidRDefault="00E37714">
      <w:bookmarkStart w:id="0" w:name="_GoBack"/>
      <w:bookmarkEnd w:id="0"/>
    </w:p>
    <w:sectPr w:rsidR="00E37714" w:rsidSect="008E599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86"/>
    <w:rsid w:val="008E5998"/>
    <w:rsid w:val="00C06A86"/>
    <w:rsid w:val="00E3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18F60-0AF4-46F7-AA60-F37E2508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9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5;&#1088;&#1080;&#1082;&#1072;&#1079;%20&#8470;%20137%20&#1087;&#1088;&#1080;&#1083;&#1086;&#1078;&#1077;&#1085;&#1080;&#1103;%20&#1080;%20&#1088;&#1077;&#1077;&#1089;&#1090;&#1088;,%20&#1087;&#1088;&#1077;&#1081;&#1089;&#1082;&#1091;&#1088;&#1072;&#1085;&#1090;&#1099;%20%20&#1076;&#1083;&#1103;%20&#1089;&#1072;&#1081;&#1090;&#1072;\&#1057;&#1090;&#1088;&#1091;&#1082;&#1090;&#1091;&#1088;&#1072;%20&#1080;&#1079;&#1076;&#1077;&#1088;&#1078;&#1077;&#1082;%20&#1050;&#1048;%202016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5;&#1088;&#1080;&#1082;&#1072;&#1079;%20&#8470;%20137%20&#1087;&#1088;&#1080;&#1083;&#1086;&#1078;&#1077;&#1085;&#1080;&#1103;%20&#1080;%20&#1088;&#1077;&#1077;&#1089;&#1090;&#1088;,%20&#1087;&#1088;&#1077;&#1081;&#1089;&#1082;&#1091;&#1088;&#1072;&#1085;&#1090;&#1099;%20%20&#1076;&#1083;&#1103;%20&#1089;&#1072;&#1081;&#1090;&#1072;\&#1057;&#1090;&#1088;&#1091;&#1082;&#1090;&#1091;&#1088;&#1072;%20&#1080;&#1079;&#1076;&#1077;&#1088;&#1078;&#1077;&#1082;%20&#1050;&#1048;%202016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39856481481481482"/>
          <c:w val="0.93888888888888888"/>
          <c:h val="0.60027668416447943"/>
        </c:manualLayout>
      </c:layout>
      <c:pie3DChart>
        <c:varyColors val="1"/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extLst>
          <c:ext xmlns:c15="http://schemas.microsoft.com/office/drawing/2012/chart" uri="{02D57815-91ED-43cb-92C2-25804820EDAC}">
            <c15:filteredPieSeries>
              <c15:ser>
                <c:idx val="3"/>
                <c:order val="0"/>
                <c:tx>
                  <c:strRef>
                    <c:extLst>
                      <c:ext uri="{02D57815-91ED-43cb-92C2-25804820EDAC}">
                        <c15:formulaRef>
                          <c15:sqref>ки!$B$11</c15:sqref>
                        </c15:formulaRef>
                      </c:ext>
                    </c:extLst>
                    <c:strCache>
                      <c:ptCount val="1"/>
                      <c:pt idx="0">
                        <c:v>Оплата труда</c:v>
                      </c:pt>
                    </c:strCache>
                  </c:strRef>
                </c:tx>
                <c:dLbls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val>
                  <c:numRef>
                    <c:extLst>
                      <c:ext uri="{02D57815-91ED-43cb-92C2-25804820EDAC}">
                        <c15:fullRef>
                          <c15:sqref>ки!$B$14</c15:sqref>
                        </c15:fullRef>
                        <c15:formulaRef>
                          <c15:sqref/>
                        </c15:formulaRef>
                      </c:ext>
                    </c:extLst>
                    <c:numCache>
                      <c:formatCode>0.00%</c:formatCode>
                      <c:ptCount val="0"/>
                    </c:numCache>
                  </c:numRef>
                </c:val>
                <c:extLst>
                  <c:ext uri="{02D57815-91ED-43cb-92C2-25804820EDAC}">
                    <c15:categoryFilterExceptions>
                      <c15:categoryFilterException>
                        <c15:sqref>'[Структура издержек КИ 2016.xlsx]ки'!$B$14</c15:sqref>
                        <c15:bubble3D val="0"/>
                      </c15:categoryFilterException>
                    </c15:categoryFilterExceptions>
                  </c:ext>
                </c:extLst>
              </c15:ser>
            </c15:filteredPieSeries>
            <c15:filteredPieSeries>
              <c15:ser>
                <c:idx val="0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ки!$C$11</c15:sqref>
                        </c15:formulaRef>
                      </c:ext>
                    </c:extLst>
                    <c:strCache>
                      <c:ptCount val="1"/>
                      <c:pt idx="0">
                        <c:v>Страховые взносы</c:v>
                      </c:pt>
                    </c:strCache>
                  </c:strRef>
                </c:tx>
                <c:dLbls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ки!$C$14</c15:sqref>
                        </c15:fullRef>
                        <c15:formulaRef>
                          <c15:sqref/>
                        </c15:formulaRef>
                      </c:ext>
                    </c:extLst>
                    <c:numCache>
                      <c:formatCode>0.00%</c:formatCode>
                      <c:ptCount val="0"/>
                    </c:numCache>
                  </c:numRef>
                </c:val>
                <c:extLst xmlns:c15="http://schemas.microsoft.com/office/drawing/2012/chart">
                  <c:ext xmlns:c15="http://schemas.microsoft.com/office/drawing/2012/chart" uri="{02D57815-91ED-43cb-92C2-25804820EDAC}">
                    <c15:categoryFilterExceptions>
                      <c15:categoryFilterException>
                        <c15:sqref>'[Структура издержек КИ 2016.xlsx]ки'!$C$14</c15:sqref>
                        <c15:bubble3D val="0"/>
                        <c15:dLbl>
                          <c:idx val="-1"/>
                          <c:spPr>
                            <a:noFill/>
                            <a:ln>
                              <a:noFill/>
                            </a:ln>
                            <a:effectLst/>
                          </c:spPr>
                          <c:txPr>
                            <a:bodyPr rot="0" spcFirstLastPara="1" vertOverflow="ellipsis" vert="horz" wrap="square" lIns="38100" tIns="19050" rIns="38100" bIns="19050" anchor="ctr" anchorCtr="1">
                              <a:spAutoFit/>
                            </a:bodyPr>
                            <a:lstStyle/>
                            <a:p>
                              <a:pPr>
                                <a:defRPr sz="1000" b="1" i="0" u="none" strike="noStrike" kern="1200" spc="0" baseline="0">
                                  <a:solidFill>
                                    <a:schemeClr val="accen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pPr>
                              <a:endParaRPr lang="ru-RU"/>
                            </a:p>
                          </c:txPr>
                          <c:dLblPos val="outEnd"/>
                          <c:showLegendKey val="0"/>
                          <c:showVal val="0"/>
                          <c:showCatName val="1"/>
                          <c:showSerName val="0"/>
                          <c:showPercent val="0"/>
                          <c:showBubbleSize val="0"/>
                        </c15:dLbl>
                      </c15:categoryFilterException>
                    </c15:categoryFilterExceptions>
                  </c:ext>
                </c:extLst>
              </c15:ser>
            </c15:filteredPieSeries>
            <c15:filteredPieSeries>
              <c15:ser>
                <c:idx val="1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ки!$D$11</c15:sqref>
                        </c15:formulaRef>
                      </c:ext>
                    </c:extLst>
                    <c:strCache>
                      <c:ptCount val="1"/>
                      <c:pt idx="0">
                        <c:v>Амортизация ОПФ</c:v>
                      </c:pt>
                    </c:strCache>
                  </c:strRef>
                </c:tx>
                <c:dLbls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ки!$D$14</c15:sqref>
                        </c15:fullRef>
                        <c15:formulaRef>
                          <c15:sqref/>
                        </c15:formulaRef>
                      </c:ext>
                    </c:extLst>
                    <c:numCache>
                      <c:formatCode>0.00%</c:formatCode>
                      <c:ptCount val="0"/>
                    </c:numCache>
                  </c:numRef>
                </c:val>
                <c:extLst xmlns:c15="http://schemas.microsoft.com/office/drawing/2012/chart">
                  <c:ext xmlns:c15="http://schemas.microsoft.com/office/drawing/2012/chart" uri="{02D57815-91ED-43cb-92C2-25804820EDAC}">
                    <c15:categoryFilterExceptions>
                      <c15:categoryFilterException>
                        <c15:sqref>'[Структура издержек КИ 2016.xlsx]ки'!$D$14</c15:sqref>
                        <c15:bubble3D val="0"/>
                        <c15:dLbl>
                          <c:idx val="-1"/>
                          <c:spPr>
                            <a:noFill/>
                            <a:ln>
                              <a:noFill/>
                            </a:ln>
                            <a:effectLst/>
                          </c:spPr>
                          <c:txPr>
                            <a:bodyPr rot="0" spcFirstLastPara="1" vertOverflow="ellipsis" vert="horz" wrap="square" lIns="38100" tIns="19050" rIns="38100" bIns="19050" anchor="ctr" anchorCtr="1">
                              <a:spAutoFit/>
                            </a:bodyPr>
                            <a:lstStyle/>
                            <a:p>
                              <a:pPr>
                                <a:defRPr sz="1000" b="1" i="0" u="none" strike="noStrike" kern="1200" spc="0" baseline="0">
                                  <a:solidFill>
                                    <a:schemeClr val="accen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pPr>
                              <a:endParaRPr lang="ru-RU"/>
                            </a:p>
                          </c:txPr>
                          <c:dLblPos val="outEnd"/>
                          <c:showLegendKey val="0"/>
                          <c:showVal val="0"/>
                          <c:showCatName val="1"/>
                          <c:showSerName val="0"/>
                          <c:showPercent val="0"/>
                          <c:showBubbleSize val="0"/>
                        </c15:dLbl>
                      </c15:categoryFilterException>
                    </c15:categoryFilterExceptions>
                  </c:ext>
                </c:extLst>
              </c15:ser>
            </c15:filteredPieSeries>
            <c15:filteredPieSeries>
              <c15:ser>
                <c:idx val="2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ки!$E$11</c15:sqref>
                        </c15:formulaRef>
                      </c:ext>
                    </c:extLst>
                    <c:strCache>
                      <c:ptCount val="1"/>
                      <c:pt idx="0">
                        <c:v>Материальные затраты</c:v>
                      </c:pt>
                    </c:strCache>
                  </c:strRef>
                </c:tx>
                <c:dLbls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ки!$E$14</c15:sqref>
                        </c15:fullRef>
                        <c15:formulaRef>
                          <c15:sqref/>
                        </c15:formulaRef>
                      </c:ext>
                    </c:extLst>
                    <c:numCache>
                      <c:formatCode>0.00%</c:formatCode>
                      <c:ptCount val="0"/>
                    </c:numCache>
                  </c:numRef>
                </c:val>
                <c:extLst xmlns:c15="http://schemas.microsoft.com/office/drawing/2012/chart">
                  <c:ext xmlns:c15="http://schemas.microsoft.com/office/drawing/2012/chart" uri="{02D57815-91ED-43cb-92C2-25804820EDAC}">
                    <c15:categoryFilterExceptions>
                      <c15:categoryFilterException>
                        <c15:sqref>'[Структура издержек КИ 2016.xlsx]ки'!$E$14</c15:sqref>
                        <c15:bubble3D val="0"/>
                        <c15:dLbl>
                          <c:idx val="-1"/>
                          <c:spPr>
                            <a:noFill/>
                            <a:ln>
                              <a:noFill/>
                            </a:ln>
                            <a:effectLst/>
                          </c:spPr>
                          <c:txPr>
                            <a:bodyPr rot="0" spcFirstLastPara="1" vertOverflow="ellipsis" vert="horz" wrap="square" lIns="38100" tIns="19050" rIns="38100" bIns="19050" anchor="ctr" anchorCtr="1">
                              <a:spAutoFit/>
                            </a:bodyPr>
                            <a:lstStyle/>
                            <a:p>
                              <a:pPr>
                                <a:defRPr sz="1000" b="1" i="0" u="none" strike="noStrike" kern="1200" spc="0" baseline="0">
                                  <a:solidFill>
                                    <a:schemeClr val="accen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pPr>
                              <a:endParaRPr lang="ru-RU"/>
                            </a:p>
                          </c:txPr>
                          <c:dLblPos val="outEnd"/>
                          <c:showLegendKey val="0"/>
                          <c:showVal val="0"/>
                          <c:showCatName val="1"/>
                          <c:showSerName val="0"/>
                          <c:showPercent val="0"/>
                          <c:showBubbleSize val="0"/>
                        </c15:dLbl>
                      </c15:categoryFilterException>
                    </c15:categoryFilterExceptions>
                  </c:ext>
                </c:extLst>
              </c15:ser>
            </c15:filteredPieSeries>
            <c15:filteredPie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ки!$F$11</c15:sqref>
                        </c15:formulaRef>
                      </c:ext>
                    </c:extLst>
                    <c:strCache>
                      <c:ptCount val="1"/>
                      <c:pt idx="0">
                        <c:v>Прочие расходы</c:v>
                      </c:pt>
                    </c:strCache>
                  </c:strRef>
                </c:tx>
                <c:dLbls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ки!$F$14</c15:sqref>
                        </c15:fullRef>
                        <c15:formulaRef>
                          <c15:sqref/>
                        </c15:formulaRef>
                      </c:ext>
                    </c:extLst>
                    <c:numCache>
                      <c:formatCode>0.00%</c:formatCode>
                      <c:ptCount val="0"/>
                    </c:numCache>
                  </c:numRef>
                </c:val>
                <c:extLst xmlns:c15="http://schemas.microsoft.com/office/drawing/2012/chart">
                  <c:ext xmlns:c15="http://schemas.microsoft.com/office/drawing/2012/chart" uri="{02D57815-91ED-43cb-92C2-25804820EDAC}">
                    <c15:categoryFilterExceptions>
                      <c15:categoryFilterException>
                        <c15:sqref>'[Структура издержек КИ 2016.xlsx]ки'!$F$14</c15:sqref>
                        <c15:bubble3D val="0"/>
                        <c15:dLbl>
                          <c:idx val="-1"/>
                          <c:spPr>
                            <a:noFill/>
                            <a:ln>
                              <a:noFill/>
                            </a:ln>
                            <a:effectLst/>
                          </c:spPr>
                          <c:txPr>
                            <a:bodyPr rot="0" spcFirstLastPara="1" vertOverflow="ellipsis" vert="horz" wrap="square" lIns="38100" tIns="19050" rIns="38100" bIns="19050" anchor="ctr" anchorCtr="1">
                              <a:spAutoFit/>
                            </a:bodyPr>
                            <a:lstStyle/>
                            <a:p>
                              <a:pPr>
                                <a:defRPr sz="1000" b="1" i="0" u="none" strike="noStrike" kern="1200" spc="0" baseline="0">
                                  <a:solidFill>
                                    <a:schemeClr val="accen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pPr>
                              <a:endParaRPr lang="ru-RU"/>
                            </a:p>
                          </c:txPr>
                          <c:dLblPos val="outEnd"/>
                          <c:showLegendKey val="0"/>
                          <c:showVal val="0"/>
                          <c:showCatName val="1"/>
                          <c:showSerName val="0"/>
                          <c:showPercent val="0"/>
                          <c:showBubbleSize val="0"/>
                        </c15:dLbl>
                      </c15:categoryFilterException>
                    </c15:categoryFilterExceptions>
                  </c:ext>
                </c:extLst>
              </c15:ser>
            </c15:filteredPieSeries>
          </c:ext>
        </c:extLst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ки!$B$11:$F$11</c:f>
              <c:strCache>
                <c:ptCount val="5"/>
                <c:pt idx="0">
                  <c:v>Оплата труда</c:v>
                </c:pt>
                <c:pt idx="1">
                  <c:v>Страховые взносы</c:v>
                </c:pt>
                <c:pt idx="2">
                  <c:v>Амортизация ОПФ</c:v>
                </c:pt>
                <c:pt idx="3">
                  <c:v>Материальные затраты</c:v>
                </c:pt>
                <c:pt idx="4">
                  <c:v>Прочие расходы</c:v>
                </c:pt>
              </c:strCache>
            </c:strRef>
          </c:cat>
          <c:val>
            <c:numRef>
              <c:f>ки!$B$14:$F$14</c:f>
              <c:numCache>
                <c:formatCode>0.00%</c:formatCode>
                <c:ptCount val="5"/>
                <c:pt idx="0">
                  <c:v>0.21840000000000001</c:v>
                </c:pt>
                <c:pt idx="1">
                  <c:v>6.4199999999999993E-2</c:v>
                </c:pt>
                <c:pt idx="2">
                  <c:v>0.26679999999999998</c:v>
                </c:pt>
                <c:pt idx="3">
                  <c:v>0.41749999999999998</c:v>
                </c:pt>
                <c:pt idx="4">
                  <c:v>3.3099999999999997E-2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Зюзькова</dc:creator>
  <cp:keywords/>
  <dc:description/>
  <cp:lastModifiedBy>Ангелина Зюзькова</cp:lastModifiedBy>
  <cp:revision>2</cp:revision>
  <dcterms:created xsi:type="dcterms:W3CDTF">2022-02-07T15:02:00Z</dcterms:created>
  <dcterms:modified xsi:type="dcterms:W3CDTF">2022-02-07T15:04:00Z</dcterms:modified>
</cp:coreProperties>
</file>